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65D30" w14:textId="3E49A220" w:rsidR="00B22EA2" w:rsidRPr="00B22EA2" w:rsidRDefault="00B22EA2" w:rsidP="00B22EA2">
      <w:pPr>
        <w:spacing w:after="100" w:afterAutospacing="1" w:line="240" w:lineRule="auto"/>
        <w:rPr>
          <w:rFonts w:ascii="Arial" w:eastAsia="Times New Roman" w:hAnsi="Arial" w:cs="Arial"/>
          <w:noProof w:val="0"/>
          <w:color w:val="000000"/>
          <w:kern w:val="0"/>
          <w:sz w:val="17"/>
          <w:szCs w:val="17"/>
          <w:lang w:eastAsia="de-DE"/>
          <w14:ligatures w14:val="none"/>
        </w:rPr>
      </w:pPr>
    </w:p>
    <w:p w14:paraId="5B21F4CB" w14:textId="77777777" w:rsidR="00B22EA2" w:rsidRPr="00B22EA2" w:rsidRDefault="00B22EA2" w:rsidP="00B22EA2">
      <w:pPr>
        <w:spacing w:after="100" w:afterAutospacing="1" w:line="240" w:lineRule="auto"/>
        <w:rPr>
          <w:rFonts w:ascii="Arial" w:eastAsia="Times New Roman" w:hAnsi="Arial" w:cs="Arial"/>
          <w:noProof w:val="0"/>
          <w:color w:val="000000"/>
          <w:kern w:val="0"/>
          <w:sz w:val="17"/>
          <w:szCs w:val="17"/>
          <w:lang w:eastAsia="de-DE"/>
          <w14:ligatures w14:val="none"/>
        </w:rPr>
      </w:pPr>
      <w:proofErr w:type="spellStart"/>
      <w:r w:rsidRPr="00B22EA2">
        <w:rPr>
          <w:rFonts w:ascii="Georgia" w:eastAsia="Times New Roman" w:hAnsi="Georgia" w:cs="Arial"/>
          <w:b/>
          <w:bCs/>
          <w:noProof w:val="0"/>
          <w:color w:val="521B00"/>
          <w:kern w:val="0"/>
          <w:sz w:val="29"/>
          <w:szCs w:val="29"/>
          <w:lang w:eastAsia="de-DE"/>
          <w14:ligatures w14:val="none"/>
        </w:rPr>
        <w:t>RemembeRING</w:t>
      </w:r>
      <w:proofErr w:type="spellEnd"/>
      <w:r w:rsidRPr="00B22EA2">
        <w:rPr>
          <w:rFonts w:ascii="Georgia" w:eastAsia="Times New Roman" w:hAnsi="Georgia" w:cs="Arial"/>
          <w:noProof w:val="0"/>
          <w:color w:val="521B00"/>
          <w:kern w:val="0"/>
          <w:sz w:val="29"/>
          <w:szCs w:val="29"/>
          <w:lang w:eastAsia="de-DE"/>
          <w14:ligatures w14:val="none"/>
        </w:rPr>
        <w:t xml:space="preserve"> – Gastspiel des Theaters </w:t>
      </w:r>
      <w:proofErr w:type="spellStart"/>
      <w:r w:rsidRPr="00B22EA2">
        <w:rPr>
          <w:rFonts w:ascii="Georgia" w:eastAsia="Times New Roman" w:hAnsi="Georgia" w:cs="Arial"/>
          <w:noProof w:val="0"/>
          <w:color w:val="521B00"/>
          <w:kern w:val="0"/>
          <w:sz w:val="29"/>
          <w:szCs w:val="29"/>
          <w:lang w:eastAsia="de-DE"/>
          <w14:ligatures w14:val="none"/>
        </w:rPr>
        <w:t>SentiMenti</w:t>
      </w:r>
      <w:proofErr w:type="spellEnd"/>
      <w:r w:rsidRPr="00B22EA2">
        <w:rPr>
          <w:rFonts w:ascii="Georgia" w:eastAsia="Times New Roman" w:hAnsi="Georgia" w:cs="Arial"/>
          <w:noProof w:val="0"/>
          <w:color w:val="521B00"/>
          <w:kern w:val="0"/>
          <w:sz w:val="29"/>
          <w:szCs w:val="29"/>
          <w:lang w:eastAsia="de-DE"/>
          <w14:ligatures w14:val="none"/>
        </w:rPr>
        <w:t xml:space="preserve"> im Rahmen des Geschichtsprojekts „Facts not </w:t>
      </w:r>
      <w:proofErr w:type="spellStart"/>
      <w:r w:rsidRPr="00B22EA2">
        <w:rPr>
          <w:rFonts w:ascii="Georgia" w:eastAsia="Times New Roman" w:hAnsi="Georgia" w:cs="Arial"/>
          <w:noProof w:val="0"/>
          <w:color w:val="521B00"/>
          <w:kern w:val="0"/>
          <w:sz w:val="29"/>
          <w:szCs w:val="29"/>
          <w:lang w:eastAsia="de-DE"/>
          <w14:ligatures w14:val="none"/>
        </w:rPr>
        <w:t>fiction</w:t>
      </w:r>
      <w:proofErr w:type="spellEnd"/>
      <w:r w:rsidRPr="00B22EA2">
        <w:rPr>
          <w:rFonts w:ascii="Georgia" w:eastAsia="Times New Roman" w:hAnsi="Georgia" w:cs="Arial"/>
          <w:noProof w:val="0"/>
          <w:color w:val="521B00"/>
          <w:kern w:val="0"/>
          <w:sz w:val="29"/>
          <w:szCs w:val="29"/>
          <w:lang w:eastAsia="de-DE"/>
          <w14:ligatures w14:val="none"/>
        </w:rPr>
        <w:t xml:space="preserve">“ </w:t>
      </w:r>
    </w:p>
    <w:p w14:paraId="40B90156" w14:textId="77777777" w:rsidR="00B22EA2" w:rsidRPr="00B22EA2" w:rsidRDefault="00B22EA2" w:rsidP="00B22EA2">
      <w:pPr>
        <w:spacing w:after="100" w:afterAutospacing="1" w:line="240" w:lineRule="auto"/>
        <w:rPr>
          <w:rFonts w:ascii="Arial" w:eastAsia="Times New Roman" w:hAnsi="Arial" w:cs="Arial"/>
          <w:noProof w:val="0"/>
          <w:color w:val="000000"/>
          <w:kern w:val="0"/>
          <w:sz w:val="17"/>
          <w:szCs w:val="17"/>
          <w:lang w:eastAsia="de-DE"/>
          <w14:ligatures w14:val="none"/>
        </w:rPr>
      </w:pPr>
      <w:r w:rsidRPr="00B22EA2">
        <w:rPr>
          <w:rFonts w:ascii="Georgia" w:eastAsia="Times New Roman" w:hAnsi="Georgia" w:cs="Arial"/>
          <w:noProof w:val="0"/>
          <w:color w:val="521B00"/>
          <w:kern w:val="0"/>
          <w:sz w:val="29"/>
          <w:szCs w:val="29"/>
          <w:lang w:eastAsia="de-DE"/>
          <w14:ligatures w14:val="none"/>
        </w:rPr>
        <w:t xml:space="preserve">Am 22.10.2025 gastiert um 19:00 das Theater </w:t>
      </w:r>
      <w:proofErr w:type="spellStart"/>
      <w:r w:rsidRPr="00B22EA2">
        <w:rPr>
          <w:rFonts w:ascii="Georgia" w:eastAsia="Times New Roman" w:hAnsi="Georgia" w:cs="Arial"/>
          <w:noProof w:val="0"/>
          <w:color w:val="521B00"/>
          <w:kern w:val="0"/>
          <w:sz w:val="29"/>
          <w:szCs w:val="29"/>
          <w:lang w:eastAsia="de-DE"/>
          <w14:ligatures w14:val="none"/>
        </w:rPr>
        <w:t>SentiMenti</w:t>
      </w:r>
      <w:proofErr w:type="spellEnd"/>
      <w:r w:rsidRPr="00B22EA2">
        <w:rPr>
          <w:rFonts w:ascii="Georgia" w:eastAsia="Times New Roman" w:hAnsi="Georgia" w:cs="Arial"/>
          <w:noProof w:val="0"/>
          <w:color w:val="521B00"/>
          <w:kern w:val="0"/>
          <w:sz w:val="29"/>
          <w:szCs w:val="29"/>
          <w:lang w:eastAsia="de-DE"/>
          <w14:ligatures w14:val="none"/>
        </w:rPr>
        <w:t xml:space="preserve"> aus Frankfurt mit einer Abendveranstaltung am Grimmelshausen Gymnasium Gelnhausen. </w:t>
      </w:r>
    </w:p>
    <w:p w14:paraId="1475282C" w14:textId="77777777" w:rsidR="00B22EA2" w:rsidRPr="00B22EA2" w:rsidRDefault="00B22EA2" w:rsidP="00B22EA2">
      <w:pPr>
        <w:spacing w:after="100" w:afterAutospacing="1" w:line="240" w:lineRule="auto"/>
        <w:rPr>
          <w:rFonts w:ascii="Arial" w:eastAsia="Times New Roman" w:hAnsi="Arial" w:cs="Arial"/>
          <w:noProof w:val="0"/>
          <w:color w:val="000000"/>
          <w:kern w:val="0"/>
          <w:sz w:val="17"/>
          <w:szCs w:val="17"/>
          <w:lang w:eastAsia="de-DE"/>
          <w14:ligatures w14:val="none"/>
        </w:rPr>
      </w:pPr>
      <w:r w:rsidRPr="00B22EA2">
        <w:rPr>
          <w:rFonts w:ascii="Georgia" w:eastAsia="Times New Roman" w:hAnsi="Georgia" w:cs="Arial"/>
          <w:noProof w:val="0"/>
          <w:color w:val="521B00"/>
          <w:kern w:val="0"/>
          <w:sz w:val="29"/>
          <w:szCs w:val="29"/>
          <w:lang w:eastAsia="de-DE"/>
          <w14:ligatures w14:val="none"/>
        </w:rPr>
        <w:t xml:space="preserve">Liora Hilb setzt sich gemeinsam mit ihre Tochter Stella szenisch mit der Biographie ihrer Großmutter auseinander, die 1943 von den Nazis in Ausschwitz umgebracht wurde. Ihren Kindern gelang die Flucht nach Palästina, wo sie sich ein neues Leben aufbauten. 1970 kehrte Lioras Vater nach Deutschland zurück. Über den gewaltsamen Tod der Großmutter sprach niemand und dennoch prägt die Erinnerung daran das Leben der Familie. </w:t>
      </w:r>
    </w:p>
    <w:p w14:paraId="6D92D0FC" w14:textId="77777777" w:rsidR="00B22EA2" w:rsidRPr="00B22EA2" w:rsidRDefault="00B22EA2" w:rsidP="00B22EA2">
      <w:pPr>
        <w:spacing w:after="100" w:afterAutospacing="1" w:line="240" w:lineRule="auto"/>
        <w:rPr>
          <w:rFonts w:ascii="Arial" w:eastAsia="Times New Roman" w:hAnsi="Arial" w:cs="Arial"/>
          <w:noProof w:val="0"/>
          <w:color w:val="000000"/>
          <w:kern w:val="0"/>
          <w:sz w:val="17"/>
          <w:szCs w:val="17"/>
          <w:lang w:eastAsia="de-DE"/>
          <w14:ligatures w14:val="none"/>
        </w:rPr>
      </w:pPr>
      <w:r w:rsidRPr="00B22EA2">
        <w:rPr>
          <w:rFonts w:ascii="Georgia" w:eastAsia="Times New Roman" w:hAnsi="Georgia" w:cs="Arial"/>
          <w:noProof w:val="0"/>
          <w:color w:val="521B00"/>
          <w:kern w:val="0"/>
          <w:sz w:val="29"/>
          <w:szCs w:val="29"/>
          <w:lang w:eastAsia="de-DE"/>
          <w14:ligatures w14:val="none"/>
        </w:rPr>
        <w:t>Ein Ring der Großmutter als Erinnerungsstück war dann Ausgangspunkt für die Erforschung von Familiengeschichte. Dieser als Dingobjekt spannt einen Bogen über das Schicksal einer jüdisch-deutschen Familie in drei Generationen und soll – auf die Theaterbühne gebracht – eine Auseinandersetzung mit der Vergangenheit und Zukunft ermöglichen. Der Text des Stückes basiert einerseits auf familiären Überlieferungen und andererseits auf Gesprächen mit Jugendlichen über ihre Sicht auf die Shoah und jüdisches Leben im heutigen Deutschland.</w:t>
      </w:r>
    </w:p>
    <w:p w14:paraId="34684BCF" w14:textId="77777777" w:rsidR="00B22EA2" w:rsidRPr="00B22EA2" w:rsidRDefault="00B22EA2" w:rsidP="00B22EA2">
      <w:pPr>
        <w:spacing w:after="100" w:afterAutospacing="1" w:line="240" w:lineRule="auto"/>
        <w:rPr>
          <w:rFonts w:ascii="Arial" w:eastAsia="Times New Roman" w:hAnsi="Arial" w:cs="Arial"/>
          <w:noProof w:val="0"/>
          <w:color w:val="000000"/>
          <w:kern w:val="0"/>
          <w:sz w:val="17"/>
          <w:szCs w:val="17"/>
          <w:lang w:eastAsia="de-DE"/>
          <w14:ligatures w14:val="none"/>
        </w:rPr>
      </w:pPr>
      <w:r w:rsidRPr="00B22EA2">
        <w:rPr>
          <w:rFonts w:ascii="Georgia" w:eastAsia="Times New Roman" w:hAnsi="Georgia" w:cs="Arial"/>
          <w:noProof w:val="0"/>
          <w:color w:val="521B00"/>
          <w:kern w:val="0"/>
          <w:sz w:val="29"/>
          <w:szCs w:val="29"/>
          <w:lang w:eastAsia="de-DE"/>
          <w14:ligatures w14:val="none"/>
        </w:rPr>
        <w:t xml:space="preserve">Das methodische Vorgehen passt sehr gut zum Schulprojekt „Wo ist Lotte?“, in dem 24 Schüler*innen zum Leben Lotte Sondheimers recherchiert haben und dieses in Kooperation mit der Künstlerin Hannah Brinkmann und den </w:t>
      </w:r>
      <w:proofErr w:type="spellStart"/>
      <w:r w:rsidRPr="00B22EA2">
        <w:rPr>
          <w:rFonts w:ascii="Georgia" w:eastAsia="Times New Roman" w:hAnsi="Georgia" w:cs="Arial"/>
          <w:noProof w:val="0"/>
          <w:color w:val="521B00"/>
          <w:kern w:val="0"/>
          <w:sz w:val="29"/>
          <w:szCs w:val="29"/>
          <w:lang w:eastAsia="de-DE"/>
          <w14:ligatures w14:val="none"/>
        </w:rPr>
        <w:t>Arolsen</w:t>
      </w:r>
      <w:proofErr w:type="spellEnd"/>
      <w:r w:rsidRPr="00B22EA2">
        <w:rPr>
          <w:rFonts w:ascii="Georgia" w:eastAsia="Times New Roman" w:hAnsi="Georgia" w:cs="Arial"/>
          <w:noProof w:val="0"/>
          <w:color w:val="521B00"/>
          <w:kern w:val="0"/>
          <w:sz w:val="29"/>
          <w:szCs w:val="29"/>
          <w:lang w:eastAsia="de-DE"/>
          <w14:ligatures w14:val="none"/>
        </w:rPr>
        <w:t xml:space="preserve"> Archives in die Bildsprache </w:t>
      </w:r>
      <w:proofErr w:type="gramStart"/>
      <w:r w:rsidRPr="00B22EA2">
        <w:rPr>
          <w:rFonts w:ascii="Georgia" w:eastAsia="Times New Roman" w:hAnsi="Georgia" w:cs="Arial"/>
          <w:noProof w:val="0"/>
          <w:color w:val="521B00"/>
          <w:kern w:val="0"/>
          <w:sz w:val="29"/>
          <w:szCs w:val="29"/>
          <w:lang w:eastAsia="de-DE"/>
          <w14:ligatures w14:val="none"/>
        </w:rPr>
        <w:t xml:space="preserve">einer  </w:t>
      </w:r>
      <w:proofErr w:type="spellStart"/>
      <w:r w:rsidRPr="00B22EA2">
        <w:rPr>
          <w:rFonts w:ascii="Georgia" w:eastAsia="Times New Roman" w:hAnsi="Georgia" w:cs="Arial"/>
          <w:noProof w:val="0"/>
          <w:color w:val="521B00"/>
          <w:kern w:val="0"/>
          <w:sz w:val="29"/>
          <w:szCs w:val="29"/>
          <w:lang w:eastAsia="de-DE"/>
          <w14:ligatures w14:val="none"/>
        </w:rPr>
        <w:t>Grafic</w:t>
      </w:r>
      <w:proofErr w:type="spellEnd"/>
      <w:proofErr w:type="gramEnd"/>
      <w:r w:rsidRPr="00B22EA2">
        <w:rPr>
          <w:rFonts w:ascii="Georgia" w:eastAsia="Times New Roman" w:hAnsi="Georgia" w:cs="Arial"/>
          <w:noProof w:val="0"/>
          <w:color w:val="521B00"/>
          <w:kern w:val="0"/>
          <w:sz w:val="29"/>
          <w:szCs w:val="29"/>
          <w:lang w:eastAsia="de-DE"/>
          <w14:ligatures w14:val="none"/>
        </w:rPr>
        <w:t xml:space="preserve"> </w:t>
      </w:r>
      <w:proofErr w:type="spellStart"/>
      <w:r w:rsidRPr="00B22EA2">
        <w:rPr>
          <w:rFonts w:ascii="Georgia" w:eastAsia="Times New Roman" w:hAnsi="Georgia" w:cs="Arial"/>
          <w:noProof w:val="0"/>
          <w:color w:val="521B00"/>
          <w:kern w:val="0"/>
          <w:sz w:val="29"/>
          <w:szCs w:val="29"/>
          <w:lang w:eastAsia="de-DE"/>
          <w14:ligatures w14:val="none"/>
        </w:rPr>
        <w:t>Novel</w:t>
      </w:r>
      <w:proofErr w:type="spellEnd"/>
      <w:r w:rsidRPr="00B22EA2">
        <w:rPr>
          <w:rFonts w:ascii="Georgia" w:eastAsia="Times New Roman" w:hAnsi="Georgia" w:cs="Arial"/>
          <w:noProof w:val="0"/>
          <w:color w:val="521B00"/>
          <w:kern w:val="0"/>
          <w:sz w:val="29"/>
          <w:szCs w:val="29"/>
          <w:lang w:eastAsia="de-DE"/>
          <w14:ligatures w14:val="none"/>
        </w:rPr>
        <w:t xml:space="preserve"> übertragen haben, die im November 2025 erscheint.</w:t>
      </w:r>
    </w:p>
    <w:p w14:paraId="20310C35" w14:textId="77777777" w:rsidR="00B22EA2" w:rsidRPr="00B22EA2" w:rsidRDefault="00B22EA2" w:rsidP="00B22EA2">
      <w:pPr>
        <w:spacing w:after="100" w:afterAutospacing="1" w:line="240" w:lineRule="auto"/>
        <w:rPr>
          <w:rFonts w:ascii="Arial" w:eastAsia="Times New Roman" w:hAnsi="Arial" w:cs="Arial"/>
          <w:noProof w:val="0"/>
          <w:color w:val="000000"/>
          <w:kern w:val="0"/>
          <w:sz w:val="17"/>
          <w:szCs w:val="17"/>
          <w:lang w:eastAsia="de-DE"/>
          <w14:ligatures w14:val="none"/>
        </w:rPr>
      </w:pPr>
      <w:r w:rsidRPr="00B22EA2">
        <w:rPr>
          <w:rFonts w:ascii="Georgia" w:eastAsia="Times New Roman" w:hAnsi="Georgia" w:cs="Arial"/>
          <w:noProof w:val="0"/>
          <w:color w:val="521B00"/>
          <w:kern w:val="0"/>
          <w:sz w:val="29"/>
          <w:szCs w:val="29"/>
          <w:lang w:eastAsia="de-DE"/>
          <w14:ligatures w14:val="none"/>
        </w:rPr>
        <w:t xml:space="preserve">Karten für die Abendveranstaltung, die sich an die Schulgemeinde aber auch die Stadtöffentlichkeit richtet, sind ab sofort an </w:t>
      </w:r>
      <w:proofErr w:type="spellStart"/>
      <w:r w:rsidRPr="00B22EA2">
        <w:rPr>
          <w:rFonts w:ascii="Georgia" w:eastAsia="Times New Roman" w:hAnsi="Georgia" w:cs="Arial"/>
          <w:noProof w:val="0"/>
          <w:color w:val="521B00"/>
          <w:kern w:val="0"/>
          <w:sz w:val="29"/>
          <w:szCs w:val="29"/>
          <w:lang w:eastAsia="de-DE"/>
          <w14:ligatures w14:val="none"/>
        </w:rPr>
        <w:t>folgeden</w:t>
      </w:r>
      <w:proofErr w:type="spellEnd"/>
      <w:r w:rsidRPr="00B22EA2">
        <w:rPr>
          <w:rFonts w:ascii="Georgia" w:eastAsia="Times New Roman" w:hAnsi="Georgia" w:cs="Arial"/>
          <w:noProof w:val="0"/>
          <w:color w:val="521B00"/>
          <w:kern w:val="0"/>
          <w:sz w:val="29"/>
          <w:szCs w:val="29"/>
          <w:lang w:eastAsia="de-DE"/>
          <w14:ligatures w14:val="none"/>
        </w:rPr>
        <w:t xml:space="preserve"> Vorverkaufsstellen zum Preis von 15/8€ erhältlich: Sekretariat des Grimmelshausen Gymnasiums, Brentano Buchhandlung in der Langgasse, Tourist-Information am Obermarkt.</w:t>
      </w:r>
    </w:p>
    <w:p w14:paraId="14AE1616" w14:textId="77777777" w:rsidR="00B22EA2" w:rsidRPr="00B22EA2" w:rsidRDefault="00B22EA2" w:rsidP="00B22EA2">
      <w:pPr>
        <w:spacing w:after="100" w:afterAutospacing="1" w:line="240" w:lineRule="auto"/>
        <w:rPr>
          <w:rFonts w:ascii="Arial" w:eastAsia="Times New Roman" w:hAnsi="Arial" w:cs="Arial"/>
          <w:noProof w:val="0"/>
          <w:color w:val="000000"/>
          <w:kern w:val="0"/>
          <w:sz w:val="17"/>
          <w:szCs w:val="17"/>
          <w:lang w:eastAsia="de-DE"/>
          <w14:ligatures w14:val="none"/>
        </w:rPr>
      </w:pPr>
      <w:r w:rsidRPr="00B22EA2">
        <w:rPr>
          <w:rFonts w:ascii="Georgia" w:eastAsia="Times New Roman" w:hAnsi="Georgia" w:cs="Arial"/>
          <w:noProof w:val="0"/>
          <w:color w:val="521B00"/>
          <w:kern w:val="0"/>
          <w:sz w:val="29"/>
          <w:szCs w:val="29"/>
          <w:lang w:eastAsia="de-DE"/>
          <w14:ligatures w14:val="none"/>
        </w:rPr>
        <w:t>Der Eintrittspreis wird direkt als Gage für die Künstlerinnen genutzt.</w:t>
      </w:r>
    </w:p>
    <w:p w14:paraId="759212BF" w14:textId="77777777" w:rsidR="00B22EA2" w:rsidRPr="00B22EA2" w:rsidRDefault="00B22EA2" w:rsidP="00B22EA2">
      <w:pPr>
        <w:spacing w:after="100" w:afterAutospacing="1" w:line="240" w:lineRule="auto"/>
        <w:rPr>
          <w:rFonts w:ascii="Arial" w:eastAsia="Times New Roman" w:hAnsi="Arial" w:cs="Arial"/>
          <w:noProof w:val="0"/>
          <w:color w:val="000000"/>
          <w:kern w:val="0"/>
          <w:sz w:val="17"/>
          <w:szCs w:val="17"/>
          <w:lang w:eastAsia="de-DE"/>
          <w14:ligatures w14:val="none"/>
        </w:rPr>
      </w:pPr>
      <w:r w:rsidRPr="00B22EA2">
        <w:rPr>
          <w:rFonts w:ascii="Georgia" w:eastAsia="Times New Roman" w:hAnsi="Georgia" w:cs="Arial"/>
          <w:noProof w:val="0"/>
          <w:color w:val="521B00"/>
          <w:kern w:val="0"/>
          <w:sz w:val="29"/>
          <w:szCs w:val="29"/>
          <w:lang w:eastAsia="de-DE"/>
          <w14:ligatures w14:val="none"/>
        </w:rPr>
        <w:t>Wir freuen uns auf euer/Ihr Kommen!</w:t>
      </w:r>
    </w:p>
    <w:p w14:paraId="1E6CA71F" w14:textId="29DD83BD" w:rsidR="003F5DE4" w:rsidRPr="00B22EA2" w:rsidRDefault="00B22EA2" w:rsidP="00B22EA2">
      <w:pPr>
        <w:spacing w:before="100" w:beforeAutospacing="1" w:after="100" w:afterAutospacing="1" w:line="240" w:lineRule="auto"/>
        <w:rPr>
          <w:rFonts w:ascii="Arial" w:eastAsia="Times New Roman" w:hAnsi="Arial" w:cs="Arial"/>
          <w:noProof w:val="0"/>
          <w:color w:val="000000"/>
          <w:kern w:val="0"/>
          <w:sz w:val="17"/>
          <w:szCs w:val="17"/>
          <w:lang w:eastAsia="de-DE"/>
          <w14:ligatures w14:val="none"/>
        </w:rPr>
      </w:pPr>
      <w:r w:rsidRPr="00B22EA2">
        <w:rPr>
          <w:rFonts w:ascii="Arial" w:eastAsia="Times New Roman" w:hAnsi="Arial" w:cs="Arial"/>
          <w:noProof w:val="0"/>
          <w:color w:val="000000"/>
          <w:kern w:val="0"/>
          <w:lang w:eastAsia="de-DE"/>
          <w14:ligatures w14:val="none"/>
        </w:rPr>
        <w:t> </w:t>
      </w:r>
    </w:p>
    <w:sectPr w:rsidR="003F5DE4" w:rsidRPr="00B22EA2" w:rsidSect="00B22EA2">
      <w:pgSz w:w="11906" w:h="16838" w:code="9"/>
      <w:pgMar w:top="1417" w:right="1417" w:bottom="1134"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A2"/>
    <w:rsid w:val="001C1F49"/>
    <w:rsid w:val="00350341"/>
    <w:rsid w:val="00363E0D"/>
    <w:rsid w:val="0039642E"/>
    <w:rsid w:val="003F5DE4"/>
    <w:rsid w:val="00632751"/>
    <w:rsid w:val="00B22EA2"/>
    <w:rsid w:val="00C47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C00A"/>
  <w15:chartTrackingRefBased/>
  <w15:docId w15:val="{0F4985ED-169D-4FD6-BD26-0CE1D6CF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rPr>
  </w:style>
  <w:style w:type="paragraph" w:styleId="berschrift1">
    <w:name w:val="heading 1"/>
    <w:basedOn w:val="Standard"/>
    <w:next w:val="Standard"/>
    <w:link w:val="berschrift1Zchn"/>
    <w:uiPriority w:val="9"/>
    <w:qFormat/>
    <w:rsid w:val="00B22E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22E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22EA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22EA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22EA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22EA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22EA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22EA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22EA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2EA2"/>
    <w:rPr>
      <w:rFonts w:asciiTheme="majorHAnsi" w:eastAsiaTheme="majorEastAsia" w:hAnsiTheme="majorHAnsi" w:cstheme="majorBidi"/>
      <w:noProof/>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22EA2"/>
    <w:rPr>
      <w:rFonts w:asciiTheme="majorHAnsi" w:eastAsiaTheme="majorEastAsia" w:hAnsiTheme="majorHAnsi" w:cstheme="majorBidi"/>
      <w:noProof/>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22EA2"/>
    <w:rPr>
      <w:rFonts w:eastAsiaTheme="majorEastAsia" w:cstheme="majorBidi"/>
      <w:noProof/>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22EA2"/>
    <w:rPr>
      <w:rFonts w:eastAsiaTheme="majorEastAsia" w:cstheme="majorBidi"/>
      <w:i/>
      <w:iCs/>
      <w:noProof/>
      <w:color w:val="2F5496" w:themeColor="accent1" w:themeShade="BF"/>
    </w:rPr>
  </w:style>
  <w:style w:type="character" w:customStyle="1" w:styleId="berschrift5Zchn">
    <w:name w:val="Überschrift 5 Zchn"/>
    <w:basedOn w:val="Absatz-Standardschriftart"/>
    <w:link w:val="berschrift5"/>
    <w:uiPriority w:val="9"/>
    <w:semiHidden/>
    <w:rsid w:val="00B22EA2"/>
    <w:rPr>
      <w:rFonts w:eastAsiaTheme="majorEastAsia" w:cstheme="majorBidi"/>
      <w:noProof/>
      <w:color w:val="2F5496" w:themeColor="accent1" w:themeShade="BF"/>
    </w:rPr>
  </w:style>
  <w:style w:type="character" w:customStyle="1" w:styleId="berschrift6Zchn">
    <w:name w:val="Überschrift 6 Zchn"/>
    <w:basedOn w:val="Absatz-Standardschriftart"/>
    <w:link w:val="berschrift6"/>
    <w:uiPriority w:val="9"/>
    <w:semiHidden/>
    <w:rsid w:val="00B22EA2"/>
    <w:rPr>
      <w:rFonts w:eastAsiaTheme="majorEastAsia" w:cstheme="majorBidi"/>
      <w:i/>
      <w:iCs/>
      <w:noProof/>
      <w:color w:val="595959" w:themeColor="text1" w:themeTint="A6"/>
    </w:rPr>
  </w:style>
  <w:style w:type="character" w:customStyle="1" w:styleId="berschrift7Zchn">
    <w:name w:val="Überschrift 7 Zchn"/>
    <w:basedOn w:val="Absatz-Standardschriftart"/>
    <w:link w:val="berschrift7"/>
    <w:uiPriority w:val="9"/>
    <w:semiHidden/>
    <w:rsid w:val="00B22EA2"/>
    <w:rPr>
      <w:rFonts w:eastAsiaTheme="majorEastAsia" w:cstheme="majorBidi"/>
      <w:noProof/>
      <w:color w:val="595959" w:themeColor="text1" w:themeTint="A6"/>
    </w:rPr>
  </w:style>
  <w:style w:type="character" w:customStyle="1" w:styleId="berschrift8Zchn">
    <w:name w:val="Überschrift 8 Zchn"/>
    <w:basedOn w:val="Absatz-Standardschriftart"/>
    <w:link w:val="berschrift8"/>
    <w:uiPriority w:val="9"/>
    <w:semiHidden/>
    <w:rsid w:val="00B22EA2"/>
    <w:rPr>
      <w:rFonts w:eastAsiaTheme="majorEastAsia" w:cstheme="majorBidi"/>
      <w:i/>
      <w:iCs/>
      <w:noProof/>
      <w:color w:val="272727" w:themeColor="text1" w:themeTint="D8"/>
    </w:rPr>
  </w:style>
  <w:style w:type="character" w:customStyle="1" w:styleId="berschrift9Zchn">
    <w:name w:val="Überschrift 9 Zchn"/>
    <w:basedOn w:val="Absatz-Standardschriftart"/>
    <w:link w:val="berschrift9"/>
    <w:uiPriority w:val="9"/>
    <w:semiHidden/>
    <w:rsid w:val="00B22EA2"/>
    <w:rPr>
      <w:rFonts w:eastAsiaTheme="majorEastAsia" w:cstheme="majorBidi"/>
      <w:noProof/>
      <w:color w:val="272727" w:themeColor="text1" w:themeTint="D8"/>
    </w:rPr>
  </w:style>
  <w:style w:type="paragraph" w:styleId="Titel">
    <w:name w:val="Title"/>
    <w:basedOn w:val="Standard"/>
    <w:next w:val="Standard"/>
    <w:link w:val="TitelZchn"/>
    <w:uiPriority w:val="10"/>
    <w:qFormat/>
    <w:rsid w:val="00B22E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2EA2"/>
    <w:rPr>
      <w:rFonts w:asciiTheme="majorHAnsi" w:eastAsiaTheme="majorEastAsia" w:hAnsiTheme="majorHAnsi" w:cstheme="majorBidi"/>
      <w:noProof/>
      <w:spacing w:val="-10"/>
      <w:kern w:val="28"/>
      <w:sz w:val="56"/>
      <w:szCs w:val="56"/>
    </w:rPr>
  </w:style>
  <w:style w:type="paragraph" w:styleId="Untertitel">
    <w:name w:val="Subtitle"/>
    <w:basedOn w:val="Standard"/>
    <w:next w:val="Standard"/>
    <w:link w:val="UntertitelZchn"/>
    <w:uiPriority w:val="11"/>
    <w:qFormat/>
    <w:rsid w:val="00B22EA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22EA2"/>
    <w:rPr>
      <w:rFonts w:eastAsiaTheme="majorEastAsia" w:cstheme="majorBidi"/>
      <w:noProof/>
      <w:color w:val="595959" w:themeColor="text1" w:themeTint="A6"/>
      <w:spacing w:val="15"/>
      <w:sz w:val="28"/>
      <w:szCs w:val="28"/>
    </w:rPr>
  </w:style>
  <w:style w:type="paragraph" w:styleId="Zitat">
    <w:name w:val="Quote"/>
    <w:basedOn w:val="Standard"/>
    <w:next w:val="Standard"/>
    <w:link w:val="ZitatZchn"/>
    <w:uiPriority w:val="29"/>
    <w:qFormat/>
    <w:rsid w:val="00B22EA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22EA2"/>
    <w:rPr>
      <w:i/>
      <w:iCs/>
      <w:noProof/>
      <w:color w:val="404040" w:themeColor="text1" w:themeTint="BF"/>
    </w:rPr>
  </w:style>
  <w:style w:type="paragraph" w:styleId="Listenabsatz">
    <w:name w:val="List Paragraph"/>
    <w:basedOn w:val="Standard"/>
    <w:uiPriority w:val="34"/>
    <w:qFormat/>
    <w:rsid w:val="00B22EA2"/>
    <w:pPr>
      <w:ind w:left="720"/>
      <w:contextualSpacing/>
    </w:pPr>
  </w:style>
  <w:style w:type="character" w:styleId="IntensiveHervorhebung">
    <w:name w:val="Intense Emphasis"/>
    <w:basedOn w:val="Absatz-Standardschriftart"/>
    <w:uiPriority w:val="21"/>
    <w:qFormat/>
    <w:rsid w:val="00B22EA2"/>
    <w:rPr>
      <w:i/>
      <w:iCs/>
      <w:color w:val="2F5496" w:themeColor="accent1" w:themeShade="BF"/>
    </w:rPr>
  </w:style>
  <w:style w:type="paragraph" w:styleId="IntensivesZitat">
    <w:name w:val="Intense Quote"/>
    <w:basedOn w:val="Standard"/>
    <w:next w:val="Standard"/>
    <w:link w:val="IntensivesZitatZchn"/>
    <w:uiPriority w:val="30"/>
    <w:qFormat/>
    <w:rsid w:val="00B22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22EA2"/>
    <w:rPr>
      <w:i/>
      <w:iCs/>
      <w:noProof/>
      <w:color w:val="2F5496" w:themeColor="accent1" w:themeShade="BF"/>
    </w:rPr>
  </w:style>
  <w:style w:type="character" w:styleId="IntensiverVerweis">
    <w:name w:val="Intense Reference"/>
    <w:basedOn w:val="Absatz-Standardschriftart"/>
    <w:uiPriority w:val="32"/>
    <w:qFormat/>
    <w:rsid w:val="00B22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1669</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Müller</dc:creator>
  <cp:keywords/>
  <dc:description/>
  <cp:lastModifiedBy>Inga Müller</cp:lastModifiedBy>
  <cp:revision>1</cp:revision>
  <dcterms:created xsi:type="dcterms:W3CDTF">2025-10-14T18:08:00Z</dcterms:created>
  <dcterms:modified xsi:type="dcterms:W3CDTF">2025-10-14T18:10:00Z</dcterms:modified>
</cp:coreProperties>
</file>